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775CF" w14:textId="43CFACAD" w:rsidR="00A36935" w:rsidRPr="00B55935" w:rsidRDefault="00A36935" w:rsidP="00A36935">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sidR="00A56A50">
        <w:rPr>
          <w:rFonts w:ascii="Calibri" w:eastAsia="新細明體" w:hAnsi="Calibri" w:cs="Arial"/>
          <w:noProof w:val="0"/>
          <w:sz w:val="24"/>
          <w:szCs w:val="24"/>
          <w:lang w:eastAsia="ja-JP"/>
        </w:rPr>
        <w:t>#90</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w:t>
      </w:r>
      <w:r w:rsidR="00DB32E8">
        <w:rPr>
          <w:rFonts w:ascii="Calibri" w:eastAsia="新細明體" w:hAnsi="Calibri" w:cs="Arial"/>
          <w:noProof w:val="0"/>
          <w:sz w:val="24"/>
          <w:szCs w:val="24"/>
          <w:lang w:eastAsia="ja-JP"/>
        </w:rPr>
        <w:t>90</w:t>
      </w:r>
      <w:r w:rsidR="00B42484">
        <w:rPr>
          <w:rFonts w:ascii="Calibri" w:eastAsia="新細明體" w:hAnsi="Calibri" w:cs="Arial"/>
          <w:noProof w:val="0"/>
          <w:sz w:val="24"/>
          <w:szCs w:val="24"/>
          <w:lang w:eastAsia="ja-JP"/>
        </w:rPr>
        <w:t>0514</w:t>
      </w:r>
    </w:p>
    <w:p w14:paraId="162ECE50" w14:textId="22921C10" w:rsidR="00811EEE" w:rsidRPr="00FE72F2" w:rsidRDefault="00A56A50" w:rsidP="00A36935">
      <w:pPr>
        <w:tabs>
          <w:tab w:val="left" w:pos="1985"/>
        </w:tabs>
        <w:jc w:val="both"/>
        <w:rPr>
          <w:rFonts w:ascii="Calibri" w:eastAsia="新細明體" w:hAnsi="Calibri"/>
          <w:sz w:val="24"/>
        </w:rPr>
      </w:pPr>
      <w:r>
        <w:rPr>
          <w:rFonts w:ascii="Calibri" w:eastAsia="新細明體" w:hAnsi="Calibri" w:cs="Arial"/>
          <w:b/>
          <w:sz w:val="24"/>
          <w:szCs w:val="24"/>
          <w:lang w:eastAsia="ja-JP"/>
        </w:rPr>
        <w:t>Athens</w:t>
      </w:r>
      <w:r w:rsidR="00A36935"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Greece</w:t>
      </w:r>
      <w:r w:rsidR="00A36935"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February 25</w:t>
      </w:r>
      <w:r w:rsidR="00A36935" w:rsidRPr="005D4DEC">
        <w:rPr>
          <w:rFonts w:ascii="Calibri" w:eastAsia="新細明體" w:hAnsi="Calibri" w:cs="Arial"/>
          <w:b/>
          <w:sz w:val="24"/>
          <w:szCs w:val="24"/>
          <w:vertAlign w:val="superscript"/>
          <w:lang w:eastAsia="ja-JP"/>
        </w:rPr>
        <w:t>th</w:t>
      </w:r>
      <w:r w:rsidR="00A36935" w:rsidRPr="001800D2">
        <w:rPr>
          <w:rFonts w:ascii="Calibri" w:eastAsia="新細明體" w:hAnsi="Calibri" w:cs="Arial"/>
          <w:b/>
          <w:sz w:val="24"/>
          <w:szCs w:val="24"/>
          <w:lang w:eastAsia="ja-JP"/>
        </w:rPr>
        <w:t>–</w:t>
      </w:r>
      <w:r>
        <w:rPr>
          <w:rFonts w:ascii="Calibri" w:eastAsia="新細明體" w:hAnsi="Calibri" w:cs="Arial"/>
          <w:b/>
          <w:sz w:val="24"/>
          <w:szCs w:val="24"/>
          <w:lang w:eastAsia="ja-JP"/>
        </w:rPr>
        <w:t xml:space="preserve"> March 1</w:t>
      </w:r>
      <w:r w:rsidRPr="00A56A50">
        <w:rPr>
          <w:rFonts w:ascii="Calibri" w:eastAsia="新細明體" w:hAnsi="Calibri" w:cs="Arial"/>
          <w:b/>
          <w:sz w:val="24"/>
          <w:szCs w:val="24"/>
          <w:vertAlign w:val="superscript"/>
          <w:lang w:eastAsia="ja-JP"/>
        </w:rPr>
        <w:t>st</w:t>
      </w:r>
      <w:r w:rsidR="00A36935" w:rsidRPr="001800D2">
        <w:rPr>
          <w:rFonts w:ascii="Calibri" w:eastAsia="新細明體" w:hAnsi="Calibri" w:cs="Arial"/>
          <w:b/>
          <w:sz w:val="24"/>
          <w:szCs w:val="24"/>
          <w:lang w:eastAsia="ja-JP"/>
        </w:rPr>
        <w:t>, 201</w:t>
      </w:r>
      <w:r>
        <w:rPr>
          <w:rFonts w:ascii="Calibri" w:eastAsia="新細明體" w:hAnsi="Calibri" w:cs="Arial"/>
          <w:b/>
          <w:sz w:val="24"/>
          <w:szCs w:val="24"/>
          <w:lang w:eastAsia="ja-JP"/>
        </w:rPr>
        <w:t>9</w:t>
      </w:r>
    </w:p>
    <w:p w14:paraId="1CAD8A83" w14:textId="5A3AA3A4"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A56A50">
        <w:rPr>
          <w:rFonts w:cs="Arial"/>
          <w:b/>
          <w:bCs/>
        </w:rPr>
        <w:t>6.12.6.</w:t>
      </w:r>
      <w:r w:rsidR="000033D2">
        <w:rPr>
          <w:rFonts w:cs="Arial"/>
          <w:b/>
          <w:bCs/>
        </w:rPr>
        <w:t>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DF66C4E" w:rsidR="00174EC2" w:rsidRDefault="0034111C" w:rsidP="007A4FCF">
      <w:pPr>
        <w:ind w:left="1985" w:hanging="1985"/>
        <w:rPr>
          <w:rFonts w:cs="Arial"/>
          <w:b/>
          <w:bCs/>
        </w:rPr>
      </w:pPr>
      <w:r w:rsidRPr="000C45FD">
        <w:rPr>
          <w:rFonts w:cs="Arial"/>
          <w:b/>
          <w:bCs/>
        </w:rPr>
        <w:t>Title:</w:t>
      </w:r>
      <w:r w:rsidRPr="000C45FD">
        <w:rPr>
          <w:rFonts w:cs="Arial"/>
          <w:b/>
          <w:bCs/>
        </w:rPr>
        <w:tab/>
      </w:r>
      <w:r w:rsidR="000033D2">
        <w:rPr>
          <w:rFonts w:cs="Arial"/>
          <w:b/>
          <w:bCs/>
        </w:rPr>
        <w:t xml:space="preserve">UE </w:t>
      </w:r>
      <w:r w:rsidR="003A2030">
        <w:rPr>
          <w:rFonts w:cs="Arial"/>
          <w:b/>
          <w:bCs/>
        </w:rPr>
        <w:t xml:space="preserve">UL </w:t>
      </w:r>
      <w:r w:rsidR="000033D2">
        <w:rPr>
          <w:rFonts w:cs="Arial"/>
          <w:b/>
          <w:bCs/>
        </w:rPr>
        <w:t>timing adjustment due to Rx beam change</w:t>
      </w:r>
      <w:r w:rsidR="00967F64">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440BC78C" w14:textId="057124F3" w:rsidR="00A56A50" w:rsidRDefault="003A2030" w:rsidP="005E4A4F">
      <w:pPr>
        <w:jc w:val="both"/>
      </w:pPr>
      <w:r>
        <w:t xml:space="preserve">In last RAN4 meeting, the issue of UE UL timing change due to Rx beam change was discussed without </w:t>
      </w:r>
      <w:r w:rsidR="00C94570">
        <w:t xml:space="preserve">reaching </w:t>
      </w:r>
      <w:r>
        <w:t xml:space="preserve">conclusion. </w:t>
      </w:r>
      <w:r w:rsidR="006D0065">
        <w:t>In this paper, we discuss this issue and provide our view.</w:t>
      </w:r>
      <w:r>
        <w:t xml:space="preserve"> </w:t>
      </w:r>
    </w:p>
    <w:p w14:paraId="3A8ACA84" w14:textId="4D36E201" w:rsidR="0091441D" w:rsidRDefault="0091441D" w:rsidP="0091441D">
      <w:pPr>
        <w:pStyle w:val="1"/>
        <w:numPr>
          <w:ilvl w:val="0"/>
          <w:numId w:val="2"/>
        </w:numPr>
        <w:rPr>
          <w:rFonts w:ascii="Calibri" w:hAnsi="Calibri"/>
        </w:rPr>
      </w:pPr>
      <w:r w:rsidRPr="0091441D">
        <w:rPr>
          <w:rFonts w:ascii="Calibri" w:hAnsi="Calibri"/>
        </w:rPr>
        <w:t>Discussion</w:t>
      </w:r>
    </w:p>
    <w:p w14:paraId="7B64E667" w14:textId="4671BA3C" w:rsidR="0030043E" w:rsidRPr="00C94570" w:rsidRDefault="006D0065" w:rsidP="006D0065">
      <w:pPr>
        <w:pStyle w:val="af1"/>
        <w:jc w:val="both"/>
        <w:rPr>
          <w:b w:val="0"/>
          <w:sz w:val="22"/>
          <w:szCs w:val="22"/>
          <w:lang w:val="en-US"/>
        </w:rPr>
      </w:pPr>
      <w:r w:rsidRPr="00C94570">
        <w:rPr>
          <w:rFonts w:hint="eastAsia"/>
          <w:b w:val="0"/>
          <w:sz w:val="22"/>
          <w:szCs w:val="22"/>
          <w:lang w:val="en-US"/>
        </w:rPr>
        <w:t>In FR2,</w:t>
      </w:r>
      <w:r w:rsidRPr="00C94570">
        <w:rPr>
          <w:b w:val="0"/>
          <w:sz w:val="22"/>
          <w:szCs w:val="22"/>
          <w:lang w:val="en-US"/>
        </w:rPr>
        <w:t xml:space="preserve"> UE always receives signal</w:t>
      </w:r>
      <w:r w:rsidR="00C94570">
        <w:rPr>
          <w:b w:val="0"/>
          <w:sz w:val="22"/>
          <w:szCs w:val="22"/>
          <w:lang w:val="en-US"/>
        </w:rPr>
        <w:t>s</w:t>
      </w:r>
      <w:r w:rsidRPr="00C94570">
        <w:rPr>
          <w:b w:val="0"/>
          <w:sz w:val="22"/>
          <w:szCs w:val="22"/>
          <w:lang w:val="en-US"/>
        </w:rPr>
        <w:t xml:space="preserve"> via an Rx beam. </w:t>
      </w:r>
      <w:r w:rsidR="0030043E" w:rsidRPr="00C94570">
        <w:rPr>
          <w:b w:val="0"/>
          <w:sz w:val="22"/>
          <w:szCs w:val="22"/>
          <w:lang w:val="en-US"/>
        </w:rPr>
        <w:t>If the Rx beam is changed, the propagation path</w:t>
      </w:r>
      <w:r w:rsidR="00845E2B">
        <w:rPr>
          <w:b w:val="0"/>
          <w:sz w:val="22"/>
          <w:szCs w:val="22"/>
          <w:lang w:val="en-US"/>
        </w:rPr>
        <w:t>s</w:t>
      </w:r>
      <w:r w:rsidR="0030043E" w:rsidRPr="00C94570">
        <w:rPr>
          <w:b w:val="0"/>
          <w:sz w:val="22"/>
          <w:szCs w:val="22"/>
          <w:lang w:val="en-US"/>
        </w:rPr>
        <w:t xml:space="preserve"> could be different, leading to changes in DL timing in reception. Since DL timing is the reference of UL timing, the UL timing should be changed correspondingly. </w:t>
      </w:r>
    </w:p>
    <w:p w14:paraId="1C5F6240" w14:textId="3EA74606" w:rsidR="00D67925" w:rsidRPr="00C94570" w:rsidRDefault="006D0065" w:rsidP="006D0065">
      <w:pPr>
        <w:pStyle w:val="af1"/>
        <w:jc w:val="both"/>
        <w:rPr>
          <w:b w:val="0"/>
          <w:sz w:val="22"/>
          <w:szCs w:val="22"/>
          <w:lang w:val="en-US"/>
        </w:rPr>
      </w:pPr>
      <w:r w:rsidRPr="00C94570">
        <w:rPr>
          <w:b w:val="0"/>
          <w:sz w:val="22"/>
          <w:szCs w:val="22"/>
          <w:lang w:val="en-US"/>
        </w:rPr>
        <w:t>The moment that UE has to switch its Rx beam for data reception can happen in at least the 2 following scenario</w:t>
      </w:r>
      <w:r w:rsidR="0030043E" w:rsidRPr="00C94570">
        <w:rPr>
          <w:b w:val="0"/>
          <w:sz w:val="22"/>
          <w:szCs w:val="22"/>
          <w:lang w:val="en-US"/>
        </w:rPr>
        <w:t>s</w:t>
      </w:r>
      <w:r w:rsidRPr="00C94570">
        <w:rPr>
          <w:b w:val="0"/>
          <w:sz w:val="22"/>
          <w:szCs w:val="22"/>
          <w:lang w:val="en-US"/>
        </w:rPr>
        <w:t>.</w:t>
      </w:r>
    </w:p>
    <w:p w14:paraId="2747B31C" w14:textId="7E91B30C" w:rsidR="006D0065" w:rsidRPr="006D0065" w:rsidRDefault="006D0065" w:rsidP="0030043E">
      <w:pPr>
        <w:pStyle w:val="af5"/>
        <w:numPr>
          <w:ilvl w:val="0"/>
          <w:numId w:val="28"/>
        </w:numPr>
        <w:jc w:val="both"/>
        <w:rPr>
          <w:lang w:eastAsia="x-none"/>
        </w:rPr>
      </w:pPr>
      <w:r w:rsidRPr="00C94570">
        <w:rPr>
          <w:u w:val="single"/>
          <w:lang w:eastAsia="x-none"/>
        </w:rPr>
        <w:t>Scenario 1</w:t>
      </w:r>
      <w:r w:rsidRPr="00C94570">
        <w:rPr>
          <w:lang w:eastAsia="x-none"/>
        </w:rPr>
        <w:t>: Network indicates a new TCI-state to UE for PDCCH/PDSCH decoding. Since different TCI-state implies a different Tx beam used by network, UE may have to switch to a corresponding Rx beam to optimize its DL link quality</w:t>
      </w:r>
      <w:r w:rsidR="0030043E" w:rsidRPr="00C94570">
        <w:rPr>
          <w:lang w:eastAsia="x-none"/>
        </w:rPr>
        <w:t>.</w:t>
      </w:r>
      <w:r w:rsidRPr="00C94570">
        <w:rPr>
          <w:lang w:eastAsia="x-none"/>
        </w:rPr>
        <w:t xml:space="preserve"> </w:t>
      </w:r>
      <w:r w:rsidR="0030043E" w:rsidRPr="00C94570">
        <w:rPr>
          <w:lang w:eastAsia="x-none"/>
        </w:rPr>
        <w:t>A</w:t>
      </w:r>
      <w:r w:rsidRPr="00C94570">
        <w:rPr>
          <w:lang w:eastAsia="x-none"/>
        </w:rPr>
        <w:t xml:space="preserve">s shown in </w:t>
      </w:r>
      <w:r w:rsidRPr="00C94570">
        <w:rPr>
          <w:lang w:eastAsia="x-none"/>
        </w:rPr>
        <w:fldChar w:fldCharType="begin"/>
      </w:r>
      <w:r w:rsidRPr="00C94570">
        <w:rPr>
          <w:lang w:eastAsia="x-none"/>
        </w:rPr>
        <w:instrText xml:space="preserve"> REF _Ref959380 \h </w:instrText>
      </w:r>
      <w:r w:rsidR="00C94570">
        <w:rPr>
          <w:lang w:eastAsia="x-none"/>
        </w:rPr>
        <w:instrText xml:space="preserve"> \* MERGEFORMAT </w:instrText>
      </w:r>
      <w:r w:rsidRPr="00C94570">
        <w:rPr>
          <w:lang w:eastAsia="x-none"/>
        </w:rPr>
      </w:r>
      <w:r w:rsidRPr="00C94570">
        <w:rPr>
          <w:lang w:eastAsia="x-none"/>
        </w:rPr>
        <w:fldChar w:fldCharType="separate"/>
      </w:r>
      <w:r w:rsidRPr="00C94570">
        <w:t xml:space="preserve">Figure </w:t>
      </w:r>
      <w:r w:rsidRPr="00C94570">
        <w:rPr>
          <w:noProof/>
        </w:rPr>
        <w:t>1</w:t>
      </w:r>
      <w:r w:rsidRPr="00C94570">
        <w:rPr>
          <w:lang w:eastAsia="x-none"/>
        </w:rPr>
        <w:fldChar w:fldCharType="end"/>
      </w:r>
      <w:r w:rsidR="0030043E" w:rsidRPr="00C94570">
        <w:rPr>
          <w:lang w:eastAsia="x-none"/>
        </w:rPr>
        <w:t xml:space="preserve"> below, the original Tx beam could be blocked, so that network chooses another Tx beam for DL signal transmission. The UE, who has the pre-knowledge of the best Rx beam for the new Tx beam from beam management, will switch its Rx beam accordingly. Note that whether UE really has to change its Rx beam is up to UE’s decision. UE can still use the same Rx b</w:t>
      </w:r>
      <w:r w:rsidR="0030043E">
        <w:rPr>
          <w:lang w:eastAsia="x-none"/>
        </w:rPr>
        <w:t>eam for the new TCI-state if there is no better choice.</w:t>
      </w:r>
    </w:p>
    <w:p w14:paraId="1248FB82" w14:textId="58BF3F75" w:rsidR="00D67925" w:rsidRDefault="006D0065" w:rsidP="0030043E">
      <w:pPr>
        <w:jc w:val="center"/>
        <w:rPr>
          <w:lang w:eastAsia="x-none"/>
        </w:rPr>
      </w:pPr>
      <w:r w:rsidRPr="006D0065">
        <w:rPr>
          <w:noProof/>
        </w:rPr>
        <w:drawing>
          <wp:inline distT="0" distB="0" distL="0" distR="0" wp14:anchorId="59B17029" wp14:editId="16CF7910">
            <wp:extent cx="5040000" cy="1145307"/>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1145307"/>
                    </a:xfrm>
                    <a:prstGeom prst="rect">
                      <a:avLst/>
                    </a:prstGeom>
                    <a:noFill/>
                    <a:ln>
                      <a:noFill/>
                    </a:ln>
                  </pic:spPr>
                </pic:pic>
              </a:graphicData>
            </a:graphic>
          </wp:inline>
        </w:drawing>
      </w:r>
    </w:p>
    <w:p w14:paraId="2E0F54A4" w14:textId="4433E99C" w:rsidR="006D0065" w:rsidRDefault="006D0065" w:rsidP="006D0065">
      <w:pPr>
        <w:pStyle w:val="af1"/>
        <w:jc w:val="center"/>
        <w:rPr>
          <w:lang w:val="en-US"/>
        </w:rPr>
      </w:pPr>
      <w:bookmarkStart w:id="0" w:name="_Ref959380"/>
      <w:r>
        <w:t xml:space="preserve">Figure </w:t>
      </w:r>
      <w:r>
        <w:fldChar w:fldCharType="begin"/>
      </w:r>
      <w:r>
        <w:instrText xml:space="preserve"> SEQ Figure \* ARABIC </w:instrText>
      </w:r>
      <w:r>
        <w:fldChar w:fldCharType="separate"/>
      </w:r>
      <w:r>
        <w:rPr>
          <w:noProof/>
        </w:rPr>
        <w:t>1</w:t>
      </w:r>
      <w:r>
        <w:fldChar w:fldCharType="end"/>
      </w:r>
      <w:bookmarkEnd w:id="0"/>
      <w:r>
        <w:rPr>
          <w:lang w:val="en-US"/>
        </w:rPr>
        <w:t xml:space="preserve">. Scenario 1: UE Rx beam switching due to TCI-state for PDCCH/PDSCH changed </w:t>
      </w:r>
    </w:p>
    <w:p w14:paraId="33B4FB87" w14:textId="3EFFB545" w:rsidR="0030043E" w:rsidRDefault="0030043E" w:rsidP="006E0486">
      <w:pPr>
        <w:pStyle w:val="af5"/>
        <w:numPr>
          <w:ilvl w:val="0"/>
          <w:numId w:val="28"/>
        </w:numPr>
        <w:jc w:val="both"/>
        <w:rPr>
          <w:lang w:eastAsia="x-none"/>
        </w:rPr>
      </w:pPr>
      <w:r w:rsidRPr="0030043E">
        <w:rPr>
          <w:rFonts w:hint="eastAsia"/>
          <w:u w:val="single"/>
          <w:lang w:eastAsia="x-none"/>
        </w:rPr>
        <w:t>Scenario 2</w:t>
      </w:r>
      <w:r>
        <w:rPr>
          <w:rFonts w:hint="eastAsia"/>
          <w:lang w:eastAsia="x-none"/>
        </w:rPr>
        <w:t>:</w:t>
      </w:r>
      <w:r>
        <w:rPr>
          <w:lang w:eastAsia="x-none"/>
        </w:rPr>
        <w:t xml:space="preserve"> UE may </w:t>
      </w:r>
      <w:r w:rsidRPr="0030043E">
        <w:rPr>
          <w:lang w:eastAsia="x-none"/>
        </w:rPr>
        <w:t>autonomously</w:t>
      </w:r>
      <w:r>
        <w:rPr>
          <w:lang w:eastAsia="x-none"/>
        </w:rPr>
        <w:t xml:space="preserve"> changes its Rx beam for better link quality. This could happens due to UE’s rotation or object blocking by the environment</w:t>
      </w:r>
      <w:r w:rsidR="00EF6FE8">
        <w:rPr>
          <w:lang w:eastAsia="x-none"/>
        </w:rPr>
        <w:t xml:space="preserve">. As shown in </w:t>
      </w:r>
      <w:r w:rsidR="00EF6FE8">
        <w:rPr>
          <w:lang w:eastAsia="x-none"/>
        </w:rPr>
        <w:fldChar w:fldCharType="begin"/>
      </w:r>
      <w:r w:rsidR="00EF6FE8">
        <w:rPr>
          <w:lang w:eastAsia="x-none"/>
        </w:rPr>
        <w:instrText xml:space="preserve"> REF _Ref962533 \h </w:instrText>
      </w:r>
      <w:r w:rsidR="00EF6FE8">
        <w:rPr>
          <w:lang w:eastAsia="x-none"/>
        </w:rPr>
      </w:r>
      <w:r w:rsidR="00EF6FE8">
        <w:rPr>
          <w:lang w:eastAsia="x-none"/>
        </w:rPr>
        <w:fldChar w:fldCharType="separate"/>
      </w:r>
      <w:r w:rsidR="00EF6FE8">
        <w:t xml:space="preserve">Figure </w:t>
      </w:r>
      <w:r w:rsidR="00EF6FE8">
        <w:rPr>
          <w:noProof/>
        </w:rPr>
        <w:t>2</w:t>
      </w:r>
      <w:r w:rsidR="00EF6FE8">
        <w:rPr>
          <w:lang w:eastAsia="x-none"/>
        </w:rPr>
        <w:fldChar w:fldCharType="end"/>
      </w:r>
      <w:r w:rsidR="00EF6FE8">
        <w:rPr>
          <w:lang w:eastAsia="x-none"/>
        </w:rPr>
        <w:t xml:space="preserve">, UE may switch to a different Rx beam to receive data from the same Tx beam from BS. In this case, timing that UE will switch its Rx beam is completely unknown to </w:t>
      </w:r>
      <w:r w:rsidR="00F06A30">
        <w:rPr>
          <w:lang w:eastAsia="x-none"/>
        </w:rPr>
        <w:t>network</w:t>
      </w:r>
      <w:r w:rsidR="00EF6FE8">
        <w:rPr>
          <w:lang w:eastAsia="x-none"/>
        </w:rPr>
        <w:t>.</w:t>
      </w:r>
    </w:p>
    <w:p w14:paraId="4122284F" w14:textId="77777777" w:rsidR="0030043E" w:rsidRDefault="0030043E" w:rsidP="0030043E">
      <w:pPr>
        <w:rPr>
          <w:lang w:eastAsia="x-none"/>
        </w:rPr>
      </w:pPr>
    </w:p>
    <w:p w14:paraId="5671365D" w14:textId="70F543EA" w:rsidR="0030043E" w:rsidRDefault="00EF6FE8" w:rsidP="00EF6FE8">
      <w:pPr>
        <w:jc w:val="center"/>
        <w:rPr>
          <w:lang w:eastAsia="x-none"/>
        </w:rPr>
      </w:pPr>
      <w:r w:rsidRPr="00EF6FE8">
        <w:rPr>
          <w:noProof/>
        </w:rPr>
        <w:lastRenderedPageBreak/>
        <w:drawing>
          <wp:inline distT="0" distB="0" distL="0" distR="0" wp14:anchorId="4FC2B5E8" wp14:editId="20572B56">
            <wp:extent cx="5040000" cy="106766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1067660"/>
                    </a:xfrm>
                    <a:prstGeom prst="rect">
                      <a:avLst/>
                    </a:prstGeom>
                    <a:noFill/>
                    <a:ln>
                      <a:noFill/>
                    </a:ln>
                  </pic:spPr>
                </pic:pic>
              </a:graphicData>
            </a:graphic>
          </wp:inline>
        </w:drawing>
      </w:r>
    </w:p>
    <w:p w14:paraId="65BB32E1" w14:textId="31EB7971" w:rsidR="00EF6FE8" w:rsidRDefault="00EF6FE8" w:rsidP="00EF6FE8">
      <w:pPr>
        <w:pStyle w:val="af1"/>
        <w:jc w:val="center"/>
        <w:rPr>
          <w:lang w:val="en-US"/>
        </w:rPr>
      </w:pPr>
      <w:bookmarkStart w:id="1" w:name="_Ref962533"/>
      <w:r>
        <w:t xml:space="preserve">Figure </w:t>
      </w:r>
      <w:r>
        <w:fldChar w:fldCharType="begin"/>
      </w:r>
      <w:r>
        <w:instrText xml:space="preserve"> SEQ Figure \* ARABIC </w:instrText>
      </w:r>
      <w:r>
        <w:fldChar w:fldCharType="separate"/>
      </w:r>
      <w:r>
        <w:rPr>
          <w:noProof/>
        </w:rPr>
        <w:t>2</w:t>
      </w:r>
      <w:r>
        <w:fldChar w:fldCharType="end"/>
      </w:r>
      <w:bookmarkEnd w:id="1"/>
      <w:r>
        <w:rPr>
          <w:lang w:val="en-US"/>
        </w:rPr>
        <w:t xml:space="preserve">. Scenario 2: </w:t>
      </w:r>
      <w:r>
        <w:t xml:space="preserve">autonomous </w:t>
      </w:r>
      <w:r>
        <w:rPr>
          <w:lang w:val="en-US"/>
        </w:rPr>
        <w:t xml:space="preserve">UE Rx beam switch </w:t>
      </w:r>
    </w:p>
    <w:p w14:paraId="15E74E80" w14:textId="77777777" w:rsidR="00EF6FE8" w:rsidRPr="00EF6FE8" w:rsidRDefault="00EF6FE8" w:rsidP="00EF6FE8">
      <w:pPr>
        <w:jc w:val="center"/>
        <w:rPr>
          <w:lang w:eastAsia="x-none"/>
        </w:rPr>
      </w:pPr>
    </w:p>
    <w:p w14:paraId="4B8E6115" w14:textId="77777777" w:rsidR="00BF06DF" w:rsidRDefault="00C94570" w:rsidP="00BF06DF">
      <w:pPr>
        <w:jc w:val="both"/>
        <w:rPr>
          <w:lang w:eastAsia="x-none"/>
        </w:rPr>
      </w:pPr>
      <w:r>
        <w:rPr>
          <w:rFonts w:hint="eastAsia"/>
          <w:lang w:eastAsia="x-none"/>
        </w:rPr>
        <w:t xml:space="preserve">If the DL timing is delayed by </w:t>
      </w:r>
      <m:oMath>
        <m:sSub>
          <m:sSubPr>
            <m:ctrlPr>
              <w:rPr>
                <w:rFonts w:ascii="Cambria Math" w:hAnsi="Cambria Math"/>
                <w:i/>
                <w:lang w:eastAsia="x-none"/>
              </w:rPr>
            </m:ctrlPr>
          </m:sSubPr>
          <m:e>
            <m:r>
              <w:rPr>
                <w:rFonts w:ascii="Cambria Math" w:hAnsi="Cambria Math"/>
                <w:lang w:eastAsia="x-none"/>
              </w:rPr>
              <m:t>∆</m:t>
            </m:r>
          </m:e>
          <m:sub>
            <m:r>
              <w:rPr>
                <w:rFonts w:ascii="Cambria Math" w:hAnsi="Cambria Math"/>
                <w:lang w:eastAsia="x-none"/>
              </w:rPr>
              <m:t>T</m:t>
            </m:r>
          </m:sub>
        </m:sSub>
      </m:oMath>
      <w:r>
        <w:rPr>
          <w:rFonts w:hint="eastAsia"/>
          <w:lang w:eastAsia="x-none"/>
        </w:rPr>
        <w:t xml:space="preserve"> due to Rx beam switch, this means the DL </w:t>
      </w:r>
      <w:r>
        <w:rPr>
          <w:lang w:eastAsia="x-none"/>
        </w:rPr>
        <w:t xml:space="preserve">propagation delay gets </w:t>
      </w:r>
      <m:oMath>
        <m:sSub>
          <m:sSubPr>
            <m:ctrlPr>
              <w:rPr>
                <w:rFonts w:ascii="Cambria Math" w:hAnsi="Cambria Math"/>
                <w:i/>
                <w:lang w:eastAsia="x-none"/>
              </w:rPr>
            </m:ctrlPr>
          </m:sSubPr>
          <m:e>
            <m:r>
              <w:rPr>
                <w:rFonts w:ascii="Cambria Math" w:hAnsi="Cambria Math"/>
                <w:lang w:eastAsia="x-none"/>
              </w:rPr>
              <m:t>∆</m:t>
            </m:r>
          </m:e>
          <m:sub>
            <m:r>
              <w:rPr>
                <w:rFonts w:ascii="Cambria Math" w:hAnsi="Cambria Math"/>
                <w:lang w:eastAsia="x-none"/>
              </w:rPr>
              <m:t>T</m:t>
            </m:r>
          </m:sub>
        </m:sSub>
      </m:oMath>
      <w:r>
        <w:rPr>
          <w:rFonts w:hint="eastAsia"/>
          <w:lang w:eastAsia="x-none"/>
        </w:rPr>
        <w:t xml:space="preserve"> longer. </w:t>
      </w:r>
      <w:r>
        <w:rPr>
          <w:lang w:eastAsia="x-none"/>
        </w:rPr>
        <w:t xml:space="preserve">For a beam correspondence capable UE, the UL signal will likely propagate through the same path as DL. So the UL propagation delay gets </w:t>
      </w:r>
      <m:oMath>
        <m:sSub>
          <m:sSubPr>
            <m:ctrlPr>
              <w:rPr>
                <w:rFonts w:ascii="Cambria Math" w:hAnsi="Cambria Math"/>
                <w:i/>
                <w:lang w:eastAsia="x-none"/>
              </w:rPr>
            </m:ctrlPr>
          </m:sSubPr>
          <m:e>
            <m:r>
              <w:rPr>
                <w:rFonts w:ascii="Cambria Math" w:hAnsi="Cambria Math"/>
                <w:lang w:eastAsia="x-none"/>
              </w:rPr>
              <m:t>∆</m:t>
            </m:r>
          </m:e>
          <m:sub>
            <m:r>
              <w:rPr>
                <w:rFonts w:ascii="Cambria Math" w:hAnsi="Cambria Math"/>
                <w:lang w:eastAsia="x-none"/>
              </w:rPr>
              <m:t>T</m:t>
            </m:r>
          </m:sub>
        </m:sSub>
      </m:oMath>
      <w:r>
        <w:rPr>
          <w:rFonts w:hint="eastAsia"/>
          <w:lang w:eastAsia="x-none"/>
        </w:rPr>
        <w:t xml:space="preserve"> longer</w:t>
      </w:r>
      <w:r>
        <w:rPr>
          <w:lang w:eastAsia="x-none"/>
        </w:rPr>
        <w:t xml:space="preserve">, too. </w:t>
      </w:r>
    </w:p>
    <w:p w14:paraId="207D0A44" w14:textId="364257A0" w:rsidR="00BF06DF" w:rsidRDefault="00BF06DF" w:rsidP="00BF06DF">
      <w:pPr>
        <w:jc w:val="both"/>
        <w:rPr>
          <w:lang w:eastAsia="x-none"/>
        </w:rPr>
      </w:pPr>
      <w:r>
        <w:rPr>
          <w:rFonts w:hint="eastAsia"/>
          <w:lang w:eastAsia="x-none"/>
        </w:rPr>
        <w:t xml:space="preserve">It is obvious that </w:t>
      </w:r>
      <w:r w:rsidR="007416D0">
        <w:rPr>
          <w:lang w:eastAsia="x-none"/>
        </w:rPr>
        <w:t>when</w:t>
      </w:r>
      <w:r>
        <w:rPr>
          <w:rFonts w:hint="eastAsia"/>
          <w:lang w:eastAsia="x-none"/>
        </w:rPr>
        <w:t xml:space="preserve"> </w:t>
      </w:r>
      <m:oMath>
        <m:sSub>
          <m:sSubPr>
            <m:ctrlPr>
              <w:rPr>
                <w:rFonts w:ascii="Cambria Math" w:hAnsi="Cambria Math"/>
                <w:i/>
                <w:lang w:eastAsia="x-none"/>
              </w:rPr>
            </m:ctrlPr>
          </m:sSubPr>
          <m:e>
            <m:r>
              <w:rPr>
                <w:rFonts w:ascii="Cambria Math" w:hAnsi="Cambria Math"/>
                <w:lang w:eastAsia="x-none"/>
              </w:rPr>
              <m:t>∆</m:t>
            </m:r>
          </m:e>
          <m:sub>
            <m:r>
              <w:rPr>
                <w:rFonts w:ascii="Cambria Math" w:hAnsi="Cambria Math"/>
                <w:lang w:eastAsia="x-none"/>
              </w:rPr>
              <m:t>T</m:t>
            </m:r>
          </m:sub>
        </m:sSub>
      </m:oMath>
      <w:r>
        <w:rPr>
          <w:rFonts w:hint="eastAsia"/>
          <w:lang w:eastAsia="x-none"/>
        </w:rPr>
        <w:t xml:space="preserve"> is larger than </w:t>
      </w:r>
      <w:r w:rsidR="007416D0">
        <w:rPr>
          <w:lang w:eastAsia="x-none"/>
        </w:rPr>
        <w:t xml:space="preserve">UL </w:t>
      </w:r>
      <w:r>
        <w:rPr>
          <w:rFonts w:hint="eastAsia"/>
          <w:lang w:eastAsia="x-none"/>
        </w:rPr>
        <w:t xml:space="preserve">CP, </w:t>
      </w:r>
      <w:r>
        <w:rPr>
          <w:lang w:eastAsia="x-none"/>
        </w:rPr>
        <w:t>it will introduce</w:t>
      </w:r>
      <w:r>
        <w:rPr>
          <w:rFonts w:hint="eastAsia"/>
          <w:lang w:eastAsia="x-none"/>
        </w:rPr>
        <w:t xml:space="preserve"> </w:t>
      </w:r>
      <w:r>
        <w:rPr>
          <w:lang w:eastAsia="x-none"/>
        </w:rPr>
        <w:t>inter-symbol interference in</w:t>
      </w:r>
      <w:r>
        <w:rPr>
          <w:rFonts w:hint="eastAsia"/>
          <w:lang w:eastAsia="x-none"/>
        </w:rPr>
        <w:t xml:space="preserve"> UL reception </w:t>
      </w:r>
      <w:r>
        <w:rPr>
          <w:lang w:eastAsia="x-none"/>
        </w:rPr>
        <w:t>if UE remains the same UL timing.</w:t>
      </w:r>
      <w:r w:rsidR="00284219">
        <w:rPr>
          <w:lang w:eastAsia="x-none"/>
        </w:rPr>
        <w:t xml:space="preserve"> However, a timing change equaling CP length implies a change of 352m and 176m in propagation </w:t>
      </w:r>
      <w:r w:rsidR="009F2FCE">
        <w:rPr>
          <w:lang w:eastAsia="x-none"/>
        </w:rPr>
        <w:t>distance</w:t>
      </w:r>
      <w:r w:rsidR="00284219">
        <w:rPr>
          <w:lang w:eastAsia="x-none"/>
        </w:rPr>
        <w:t xml:space="preserve"> for UL SCS 60KHz and 120KHz. Th</w:t>
      </w:r>
      <w:r w:rsidR="009F2FCE">
        <w:rPr>
          <w:lang w:eastAsia="x-none"/>
        </w:rPr>
        <w:t>ese distances are rather long and</w:t>
      </w:r>
      <w:r w:rsidR="00284219">
        <w:rPr>
          <w:lang w:eastAsia="x-none"/>
        </w:rPr>
        <w:t xml:space="preserve"> </w:t>
      </w:r>
      <w:r w:rsidR="009F2FCE">
        <w:rPr>
          <w:lang w:eastAsia="x-none"/>
        </w:rPr>
        <w:t>seem</w:t>
      </w:r>
      <w:r w:rsidR="006E0486">
        <w:rPr>
          <w:lang w:eastAsia="x-none"/>
        </w:rPr>
        <w:t xml:space="preserve"> not</w:t>
      </w:r>
      <w:r w:rsidR="00284219">
        <w:rPr>
          <w:lang w:eastAsia="x-none"/>
        </w:rPr>
        <w:t xml:space="preserve"> typical in FR2. </w:t>
      </w:r>
    </w:p>
    <w:p w14:paraId="3931AA3A" w14:textId="7C0F515A" w:rsidR="001821AE" w:rsidRDefault="00112020" w:rsidP="00BF06DF">
      <w:pPr>
        <w:jc w:val="both"/>
        <w:rPr>
          <w:lang w:eastAsia="x-none"/>
        </w:rPr>
      </w:pPr>
      <w:r>
        <w:rPr>
          <w:lang w:eastAsia="x-none"/>
        </w:rPr>
        <w:t xml:space="preserve">Assume </w:t>
      </w:r>
      <w:r w:rsidR="008B1B15">
        <w:rPr>
          <w:lang w:eastAsia="x-none"/>
        </w:rPr>
        <w:t>UE does not adjust its</w:t>
      </w:r>
      <w:r>
        <w:rPr>
          <w:lang w:eastAsia="x-none"/>
        </w:rPr>
        <w:t xml:space="preserve"> UL timing</w:t>
      </w:r>
      <w:r>
        <w:rPr>
          <w:lang w:eastAsia="x-none"/>
        </w:rPr>
        <w:t xml:space="preserve"> at the 1</w:t>
      </w:r>
      <w:r w:rsidRPr="00112020">
        <w:rPr>
          <w:vertAlign w:val="superscript"/>
          <w:lang w:eastAsia="x-none"/>
        </w:rPr>
        <w:t>st</w:t>
      </w:r>
      <w:r>
        <w:rPr>
          <w:lang w:eastAsia="x-none"/>
        </w:rPr>
        <w:t xml:space="preserve"> UL after timing changed. </w:t>
      </w:r>
      <w:r w:rsidR="001821AE">
        <w:rPr>
          <w:lang w:eastAsia="x-none"/>
        </w:rPr>
        <w:t xml:space="preserve">Consider </w:t>
      </w:r>
      <w:r>
        <w:rPr>
          <w:lang w:eastAsia="x-none"/>
        </w:rPr>
        <w:t xml:space="preserve">perhaps </w:t>
      </w:r>
      <w:r w:rsidR="001821AE">
        <w:rPr>
          <w:lang w:eastAsia="x-none"/>
        </w:rPr>
        <w:t>a relatively more realistic case, e.g., a 100m change in delay path</w:t>
      </w:r>
      <w:r w:rsidR="00163497">
        <w:rPr>
          <w:lang w:eastAsia="x-none"/>
        </w:rPr>
        <w:t xml:space="preserve">. Then the corresponding change in timing is 0.33us, which is roughly </w:t>
      </w:r>
      <w:r w:rsidR="0015759E">
        <w:rPr>
          <w:lang w:eastAsia="x-none"/>
        </w:rPr>
        <w:t>2</w:t>
      </w:r>
      <w:r w:rsidR="00163497">
        <w:rPr>
          <w:lang w:eastAsia="x-none"/>
        </w:rPr>
        <w:t>8% and 56% of the CP length</w:t>
      </w:r>
      <w:r w:rsidR="0015759E">
        <w:rPr>
          <w:lang w:eastAsia="x-none"/>
        </w:rPr>
        <w:t xml:space="preserve"> for UL SCS 60KHz and 120KHz</w:t>
      </w:r>
      <w:r w:rsidR="00163497">
        <w:rPr>
          <w:lang w:eastAsia="x-none"/>
        </w:rPr>
        <w:t>.</w:t>
      </w:r>
      <w:r w:rsidR="00851AC9">
        <w:rPr>
          <w:lang w:eastAsia="x-none"/>
        </w:rPr>
        <w:t xml:space="preserve"> From our view, it may not lead to a big issue in gNB's UL reception, although this still needs to be confirmed by network vendors.</w:t>
      </w:r>
    </w:p>
    <w:p w14:paraId="77FF9A68" w14:textId="6966AADA" w:rsidR="00BF06DF" w:rsidRDefault="00851AC9" w:rsidP="00727275">
      <w:pPr>
        <w:pStyle w:val="af1"/>
        <w:jc w:val="both"/>
        <w:rPr>
          <w:lang w:val="en-US"/>
        </w:rPr>
      </w:pPr>
      <w:bookmarkStart w:id="2" w:name="_Ref986140"/>
      <w:r>
        <w:t xml:space="preserve">Observation </w:t>
      </w:r>
      <w:r>
        <w:fldChar w:fldCharType="begin"/>
      </w:r>
      <w:r>
        <w:instrText xml:space="preserve"> SEQ Observation \* ARABIC </w:instrText>
      </w:r>
      <w:r>
        <w:fldChar w:fldCharType="separate"/>
      </w:r>
      <w:r>
        <w:rPr>
          <w:noProof/>
        </w:rPr>
        <w:t>1</w:t>
      </w:r>
      <w:r>
        <w:fldChar w:fldCharType="end"/>
      </w:r>
      <w:r>
        <w:rPr>
          <w:lang w:val="en-US"/>
        </w:rPr>
        <w:t xml:space="preserve">: A 100m change in propagation delay will lead to the UL receive timing change around </w:t>
      </w:r>
      <w:r>
        <w:t>28% and 56% of the CP length for UL SCS 60KHz and 120KHz</w:t>
      </w:r>
      <w:r w:rsidR="00727275">
        <w:rPr>
          <w:lang w:val="en-US"/>
        </w:rPr>
        <w:t>, if UE does not adjust its UL timing.</w:t>
      </w:r>
      <w:bookmarkEnd w:id="2"/>
    </w:p>
    <w:p w14:paraId="67CA8529" w14:textId="77777777" w:rsidR="00727275" w:rsidRPr="00727275" w:rsidRDefault="00727275" w:rsidP="00727275">
      <w:pPr>
        <w:rPr>
          <w:lang w:eastAsia="x-none"/>
        </w:rPr>
      </w:pPr>
    </w:p>
    <w:tbl>
      <w:tblPr>
        <w:tblStyle w:val="af7"/>
        <w:tblW w:w="8043" w:type="dxa"/>
        <w:jc w:val="center"/>
        <w:tblLook w:val="0600" w:firstRow="0" w:lastRow="0" w:firstColumn="0" w:lastColumn="0" w:noHBand="1" w:noVBand="1"/>
      </w:tblPr>
      <w:tblGrid>
        <w:gridCol w:w="5443"/>
        <w:gridCol w:w="1300"/>
        <w:gridCol w:w="1300"/>
      </w:tblGrid>
      <w:tr w:rsidR="00284219" w:rsidRPr="00BF06DF" w14:paraId="0CEE1C82" w14:textId="77777777" w:rsidTr="00284219">
        <w:trPr>
          <w:trHeight w:val="290"/>
          <w:jc w:val="center"/>
        </w:trPr>
        <w:tc>
          <w:tcPr>
            <w:tcW w:w="5443" w:type="dxa"/>
            <w:hideMark/>
          </w:tcPr>
          <w:p w14:paraId="3544BAAF" w14:textId="15D31E2E" w:rsidR="00BF06DF" w:rsidRPr="00BF06DF" w:rsidRDefault="00BF06DF" w:rsidP="009C7BCF">
            <w:pPr>
              <w:spacing w:after="0"/>
              <w:rPr>
                <w:lang w:eastAsia="x-none"/>
              </w:rPr>
            </w:pPr>
            <w:r w:rsidRPr="00BF06DF">
              <w:rPr>
                <w:lang w:eastAsia="x-none"/>
              </w:rPr>
              <w:t>SCS</w:t>
            </w:r>
            <w:r w:rsidR="009C7BCF">
              <w:rPr>
                <w:lang w:eastAsia="x-none"/>
              </w:rPr>
              <w:t xml:space="preserve"> (KHz)</w:t>
            </w:r>
          </w:p>
        </w:tc>
        <w:tc>
          <w:tcPr>
            <w:tcW w:w="1300" w:type="dxa"/>
            <w:hideMark/>
          </w:tcPr>
          <w:p w14:paraId="28BA9EF9" w14:textId="77777777" w:rsidR="00BF06DF" w:rsidRPr="00BF06DF" w:rsidRDefault="00BF06DF" w:rsidP="009C7BCF">
            <w:pPr>
              <w:spacing w:after="0"/>
              <w:rPr>
                <w:lang w:eastAsia="x-none"/>
              </w:rPr>
            </w:pPr>
            <w:r w:rsidRPr="00BF06DF">
              <w:rPr>
                <w:lang w:eastAsia="x-none"/>
              </w:rPr>
              <w:t>60</w:t>
            </w:r>
            <w:r w:rsidRPr="00BF06DF">
              <w:rPr>
                <w:lang w:eastAsia="x-none"/>
              </w:rPr>
              <w:t xml:space="preserve">　</w:t>
            </w:r>
          </w:p>
        </w:tc>
        <w:tc>
          <w:tcPr>
            <w:tcW w:w="1300" w:type="dxa"/>
            <w:hideMark/>
          </w:tcPr>
          <w:p w14:paraId="1A71704E" w14:textId="77777777" w:rsidR="00BF06DF" w:rsidRPr="00BF06DF" w:rsidRDefault="00BF06DF" w:rsidP="009C7BCF">
            <w:pPr>
              <w:spacing w:after="0"/>
              <w:rPr>
                <w:lang w:eastAsia="x-none"/>
              </w:rPr>
            </w:pPr>
            <w:r w:rsidRPr="00BF06DF">
              <w:rPr>
                <w:lang w:eastAsia="x-none"/>
              </w:rPr>
              <w:t>120</w:t>
            </w:r>
          </w:p>
        </w:tc>
      </w:tr>
      <w:tr w:rsidR="00284219" w:rsidRPr="00BF06DF" w14:paraId="5B8CC250" w14:textId="77777777" w:rsidTr="00284219">
        <w:trPr>
          <w:trHeight w:val="290"/>
          <w:jc w:val="center"/>
        </w:trPr>
        <w:tc>
          <w:tcPr>
            <w:tcW w:w="5443" w:type="dxa"/>
            <w:hideMark/>
          </w:tcPr>
          <w:p w14:paraId="25C8553C" w14:textId="77777777" w:rsidR="00BF06DF" w:rsidRPr="00BF06DF" w:rsidRDefault="00BF06DF" w:rsidP="009C7BCF">
            <w:pPr>
              <w:spacing w:after="0"/>
              <w:rPr>
                <w:lang w:eastAsia="x-none"/>
              </w:rPr>
            </w:pPr>
            <w:r w:rsidRPr="00BF06DF">
              <w:rPr>
                <w:lang w:eastAsia="x-none"/>
              </w:rPr>
              <w:t>CP length (us)</w:t>
            </w:r>
          </w:p>
        </w:tc>
        <w:tc>
          <w:tcPr>
            <w:tcW w:w="1300" w:type="dxa"/>
            <w:hideMark/>
          </w:tcPr>
          <w:p w14:paraId="117AA682" w14:textId="77777777" w:rsidR="00BF06DF" w:rsidRPr="00BF06DF" w:rsidRDefault="00BF06DF" w:rsidP="009C7BCF">
            <w:pPr>
              <w:spacing w:after="0"/>
              <w:rPr>
                <w:lang w:eastAsia="x-none"/>
              </w:rPr>
            </w:pPr>
            <w:r w:rsidRPr="00BF06DF">
              <w:rPr>
                <w:lang w:eastAsia="x-none"/>
              </w:rPr>
              <w:t>1.175</w:t>
            </w:r>
          </w:p>
        </w:tc>
        <w:tc>
          <w:tcPr>
            <w:tcW w:w="1300" w:type="dxa"/>
            <w:hideMark/>
          </w:tcPr>
          <w:p w14:paraId="2952762F" w14:textId="77777777" w:rsidR="00BF06DF" w:rsidRPr="00BF06DF" w:rsidRDefault="00BF06DF" w:rsidP="009C7BCF">
            <w:pPr>
              <w:spacing w:after="0"/>
              <w:rPr>
                <w:lang w:eastAsia="x-none"/>
              </w:rPr>
            </w:pPr>
            <w:r w:rsidRPr="00BF06DF">
              <w:rPr>
                <w:lang w:eastAsia="x-none"/>
              </w:rPr>
              <w:t>0.5875</w:t>
            </w:r>
          </w:p>
        </w:tc>
      </w:tr>
      <w:tr w:rsidR="00284219" w:rsidRPr="00BF06DF" w14:paraId="1C799B35" w14:textId="77777777" w:rsidTr="00284219">
        <w:trPr>
          <w:trHeight w:val="290"/>
          <w:jc w:val="center"/>
        </w:trPr>
        <w:tc>
          <w:tcPr>
            <w:tcW w:w="5443" w:type="dxa"/>
            <w:hideMark/>
          </w:tcPr>
          <w:p w14:paraId="1FAA2863" w14:textId="5E3F67C0" w:rsidR="00BF06DF" w:rsidRPr="00BF06DF" w:rsidRDefault="00284219" w:rsidP="00284219">
            <w:pPr>
              <w:spacing w:after="0"/>
              <w:rPr>
                <w:lang w:eastAsia="x-none"/>
              </w:rPr>
            </w:pPr>
            <w:r w:rsidRPr="00BF06DF">
              <w:rPr>
                <w:lang w:eastAsia="x-none"/>
              </w:rPr>
              <w:t>Diff</w:t>
            </w:r>
            <w:r>
              <w:rPr>
                <w:lang w:eastAsia="x-none"/>
              </w:rPr>
              <w:t xml:space="preserve">erence </w:t>
            </w:r>
            <w:r w:rsidR="00BF06DF" w:rsidRPr="00BF06DF">
              <w:rPr>
                <w:lang w:eastAsia="x-none"/>
              </w:rPr>
              <w:t xml:space="preserve">in distance (m) for </w:t>
            </w:r>
            <w:r>
              <w:rPr>
                <w:lang w:eastAsia="x-none"/>
              </w:rPr>
              <w:t>timing</w:t>
            </w:r>
            <w:r w:rsidR="00BF06DF" w:rsidRPr="00BF06DF">
              <w:rPr>
                <w:lang w:eastAsia="x-none"/>
              </w:rPr>
              <w:t xml:space="preserve"> change = CP length </w:t>
            </w:r>
          </w:p>
        </w:tc>
        <w:tc>
          <w:tcPr>
            <w:tcW w:w="1300" w:type="dxa"/>
            <w:hideMark/>
          </w:tcPr>
          <w:p w14:paraId="5DDC2FDC" w14:textId="77777777" w:rsidR="00BF06DF" w:rsidRPr="00BF06DF" w:rsidRDefault="00BF06DF" w:rsidP="009C7BCF">
            <w:pPr>
              <w:spacing w:after="0"/>
              <w:rPr>
                <w:lang w:eastAsia="x-none"/>
              </w:rPr>
            </w:pPr>
            <w:r w:rsidRPr="00BF06DF">
              <w:rPr>
                <w:lang w:eastAsia="x-none"/>
              </w:rPr>
              <w:t>352.5</w:t>
            </w:r>
          </w:p>
        </w:tc>
        <w:tc>
          <w:tcPr>
            <w:tcW w:w="1300" w:type="dxa"/>
            <w:hideMark/>
          </w:tcPr>
          <w:p w14:paraId="6324F937" w14:textId="77777777" w:rsidR="00BF06DF" w:rsidRPr="00BF06DF" w:rsidRDefault="00BF06DF" w:rsidP="009C7BCF">
            <w:pPr>
              <w:spacing w:after="0"/>
              <w:rPr>
                <w:lang w:eastAsia="x-none"/>
              </w:rPr>
            </w:pPr>
            <w:r w:rsidRPr="00BF06DF">
              <w:rPr>
                <w:lang w:eastAsia="x-none"/>
              </w:rPr>
              <w:t>176.25</w:t>
            </w:r>
          </w:p>
        </w:tc>
      </w:tr>
      <w:tr w:rsidR="00163497" w:rsidRPr="00BF06DF" w14:paraId="731A5960" w14:textId="77777777" w:rsidTr="00163497">
        <w:trPr>
          <w:trHeight w:val="290"/>
          <w:jc w:val="center"/>
        </w:trPr>
        <w:tc>
          <w:tcPr>
            <w:tcW w:w="5443" w:type="dxa"/>
            <w:hideMark/>
          </w:tcPr>
          <w:p w14:paraId="00440D22" w14:textId="654CC71F" w:rsidR="00163497" w:rsidRPr="00BF06DF" w:rsidRDefault="00163497" w:rsidP="009C7BCF">
            <w:pPr>
              <w:spacing w:after="0"/>
              <w:rPr>
                <w:lang w:eastAsia="x-none"/>
              </w:rPr>
            </w:pPr>
            <w:r>
              <w:rPr>
                <w:lang w:eastAsia="x-none"/>
              </w:rPr>
              <w:t>Difference in time (us) for distance change = 100m</w:t>
            </w:r>
            <w:r w:rsidRPr="00BF06DF">
              <w:rPr>
                <w:lang w:eastAsia="x-none"/>
              </w:rPr>
              <w:t xml:space="preserve"> </w:t>
            </w:r>
          </w:p>
        </w:tc>
        <w:tc>
          <w:tcPr>
            <w:tcW w:w="2600" w:type="dxa"/>
            <w:gridSpan w:val="2"/>
            <w:vAlign w:val="center"/>
          </w:tcPr>
          <w:p w14:paraId="3CE332A3" w14:textId="05C42330" w:rsidR="00163497" w:rsidRPr="00BF06DF" w:rsidRDefault="00163497" w:rsidP="00163497">
            <w:pPr>
              <w:spacing w:after="0"/>
              <w:jc w:val="center"/>
              <w:rPr>
                <w:lang w:eastAsia="x-none"/>
              </w:rPr>
            </w:pPr>
            <w:r>
              <w:rPr>
                <w:rFonts w:hint="eastAsia"/>
                <w:lang w:eastAsia="x-none"/>
              </w:rPr>
              <w:t>0.33</w:t>
            </w:r>
          </w:p>
        </w:tc>
      </w:tr>
    </w:tbl>
    <w:p w14:paraId="23D38178" w14:textId="77777777" w:rsidR="00BF06DF" w:rsidRDefault="00BF06DF" w:rsidP="0030043E">
      <w:pPr>
        <w:rPr>
          <w:lang w:eastAsia="x-none"/>
        </w:rPr>
      </w:pPr>
    </w:p>
    <w:p w14:paraId="5F636B75" w14:textId="27DADAD7" w:rsidR="00727275" w:rsidRDefault="00727275" w:rsidP="00092D5C">
      <w:pPr>
        <w:jc w:val="both"/>
        <w:rPr>
          <w:lang w:eastAsia="x-none"/>
        </w:rPr>
      </w:pPr>
      <w:r>
        <w:rPr>
          <w:rFonts w:hint="eastAsia"/>
          <w:lang w:eastAsia="x-none"/>
        </w:rPr>
        <w:t xml:space="preserve">If it is </w:t>
      </w:r>
      <w:r w:rsidR="0055139A">
        <w:rPr>
          <w:lang w:eastAsia="x-none"/>
        </w:rPr>
        <w:t>confirmed</w:t>
      </w:r>
      <w:r>
        <w:rPr>
          <w:rFonts w:hint="eastAsia"/>
          <w:lang w:eastAsia="x-none"/>
        </w:rPr>
        <w:t xml:space="preserve"> </w:t>
      </w:r>
      <w:r>
        <w:rPr>
          <w:lang w:eastAsia="x-none"/>
        </w:rPr>
        <w:t>that</w:t>
      </w:r>
      <w:r>
        <w:rPr>
          <w:rFonts w:hint="eastAsia"/>
          <w:lang w:eastAsia="x-none"/>
        </w:rPr>
        <w:t xml:space="preserve"> </w:t>
      </w:r>
      <w:r w:rsidR="00092D5C">
        <w:rPr>
          <w:lang w:eastAsia="x-none"/>
        </w:rPr>
        <w:t>a sudden</w:t>
      </w:r>
      <w:r w:rsidR="0055139A">
        <w:rPr>
          <w:lang w:eastAsia="x-none"/>
        </w:rPr>
        <w:t xml:space="preserve"> UL timing change </w:t>
      </w:r>
      <w:r w:rsidR="00092D5C">
        <w:rPr>
          <w:lang w:eastAsia="x-none"/>
        </w:rPr>
        <w:t xml:space="preserve">in FR2 is no larger than </w:t>
      </w:r>
      <w:r w:rsidR="0055139A">
        <w:rPr>
          <w:lang w:eastAsia="x-none"/>
        </w:rPr>
        <w:t xml:space="preserve">half UL CP </w:t>
      </w:r>
      <w:r w:rsidR="00092D5C">
        <w:rPr>
          <w:lang w:eastAsia="x-none"/>
        </w:rPr>
        <w:t xml:space="preserve">and </w:t>
      </w:r>
      <w:r w:rsidR="0055139A">
        <w:rPr>
          <w:lang w:eastAsia="x-none"/>
        </w:rPr>
        <w:t>does not lead to BS decoding error</w:t>
      </w:r>
      <w:r w:rsidR="00092D5C">
        <w:rPr>
          <w:lang w:eastAsia="x-none"/>
        </w:rPr>
        <w:t>,</w:t>
      </w:r>
      <w:r w:rsidR="0055139A">
        <w:rPr>
          <w:lang w:eastAsia="x-none"/>
        </w:rPr>
        <w:t xml:space="preserve"> </w:t>
      </w:r>
      <w:r w:rsidR="00092D5C">
        <w:rPr>
          <w:lang w:eastAsia="x-none"/>
        </w:rPr>
        <w:t>t</w:t>
      </w:r>
      <w:r w:rsidR="0055139A">
        <w:rPr>
          <w:lang w:eastAsia="x-none"/>
        </w:rPr>
        <w:t xml:space="preserve">hen we can allow UE to adjust its UL timing following the requirement </w:t>
      </w:r>
      <w:r w:rsidR="00381B18">
        <w:rPr>
          <w:lang w:eastAsia="x-none"/>
        </w:rPr>
        <w:t xml:space="preserve">of adjustment rate </w:t>
      </w:r>
      <w:r w:rsidR="0055139A">
        <w:rPr>
          <w:lang w:eastAsia="x-none"/>
        </w:rPr>
        <w:t xml:space="preserve">defined in Section 7.1.2 of TS38.133. </w:t>
      </w:r>
      <w:bookmarkStart w:id="3" w:name="_GoBack"/>
      <w:bookmarkEnd w:id="3"/>
    </w:p>
    <w:p w14:paraId="16269ACC" w14:textId="68C8DF1D" w:rsidR="00EF6FE8" w:rsidRPr="00092D5C" w:rsidRDefault="00092D5C" w:rsidP="00092D5C">
      <w:pPr>
        <w:pStyle w:val="af1"/>
        <w:jc w:val="both"/>
        <w:rPr>
          <w:lang w:val="en-US"/>
        </w:rPr>
      </w:pPr>
      <w:bookmarkStart w:id="4" w:name="_Ref986144"/>
      <w:r>
        <w:t xml:space="preserve">Proposal </w:t>
      </w:r>
      <w:r>
        <w:fldChar w:fldCharType="begin"/>
      </w:r>
      <w:r>
        <w:instrText xml:space="preserve"> SEQ Proposal \* ARABIC </w:instrText>
      </w:r>
      <w:r>
        <w:fldChar w:fldCharType="separate"/>
      </w:r>
      <w:r>
        <w:rPr>
          <w:noProof/>
        </w:rPr>
        <w:t>1</w:t>
      </w:r>
      <w:r>
        <w:fldChar w:fldCharType="end"/>
      </w:r>
      <w:r>
        <w:rPr>
          <w:lang w:val="en-US"/>
        </w:rPr>
        <w:t xml:space="preserve">: If it is confirmed that a sudden </w:t>
      </w:r>
      <w:r>
        <w:t>UL timing change in FR2 is no larger than half UL CP</w:t>
      </w:r>
      <w:r>
        <w:rPr>
          <w:lang w:val="en-US"/>
        </w:rPr>
        <w:t xml:space="preserve"> and it does not </w:t>
      </w:r>
      <w:r>
        <w:t xml:space="preserve">lead to BS decoding error, UE </w:t>
      </w:r>
      <w:r>
        <w:rPr>
          <w:lang w:val="en-US"/>
        </w:rPr>
        <w:t xml:space="preserve">can follow </w:t>
      </w:r>
      <w:r>
        <w:t xml:space="preserve">the requirement </w:t>
      </w:r>
      <w:r w:rsidR="00381B18">
        <w:t xml:space="preserve">of adjustment rate </w:t>
      </w:r>
      <w:r>
        <w:t>defined in Section 7.1.2 of TS38.133</w:t>
      </w:r>
      <w:r>
        <w:rPr>
          <w:lang w:val="en-US"/>
        </w:rPr>
        <w:t xml:space="preserve"> </w:t>
      </w:r>
      <w:r>
        <w:t>to adjust its UL timing following</w:t>
      </w:r>
      <w:r>
        <w:rPr>
          <w:lang w:val="en-US"/>
        </w:rPr>
        <w:t>.</w:t>
      </w:r>
      <w:bookmarkEnd w:id="4"/>
      <w:r>
        <w:rPr>
          <w:lang w:val="en-US"/>
        </w:rPr>
        <w:t xml:space="preserve"> </w:t>
      </w:r>
    </w:p>
    <w:p w14:paraId="620D5448" w14:textId="77777777" w:rsidR="00EF6FE8" w:rsidRPr="00381B18" w:rsidRDefault="00EF6FE8" w:rsidP="0030043E">
      <w:pPr>
        <w:rPr>
          <w:lang w:eastAsia="x-none"/>
        </w:rPr>
      </w:pP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3CD15BF9" w14:textId="46D80FEC" w:rsidR="005E4A4F" w:rsidRDefault="006F7557" w:rsidP="006D0065">
      <w:pPr>
        <w:adjustRightInd w:val="0"/>
        <w:snapToGrid w:val="0"/>
        <w:spacing w:before="180" w:after="120"/>
        <w:jc w:val="both"/>
      </w:pPr>
      <w:r w:rsidRPr="004D05A7">
        <w:rPr>
          <w:rFonts w:hint="eastAsia"/>
        </w:rPr>
        <w:t xml:space="preserve">In this </w:t>
      </w:r>
      <w:r w:rsidRPr="004D05A7">
        <w:t>paper,</w:t>
      </w:r>
      <w:r w:rsidR="00FB24ED">
        <w:rPr>
          <w:rFonts w:hint="eastAsia"/>
        </w:rPr>
        <w:t xml:space="preserve"> </w:t>
      </w:r>
      <w:r w:rsidR="00381B18">
        <w:t>we discuss the issue of UE UL timing change due to Rx beam change. We have the following observation and proposal:</w:t>
      </w:r>
    </w:p>
    <w:p w14:paraId="5AC09593" w14:textId="41E18DB7" w:rsidR="00381B18" w:rsidRPr="00381B18" w:rsidRDefault="00381B18" w:rsidP="006D0065">
      <w:pPr>
        <w:adjustRightInd w:val="0"/>
        <w:snapToGrid w:val="0"/>
        <w:spacing w:before="180" w:after="120"/>
        <w:jc w:val="both"/>
        <w:rPr>
          <w:b/>
        </w:rPr>
      </w:pPr>
      <w:r w:rsidRPr="00381B18">
        <w:rPr>
          <w:b/>
        </w:rPr>
        <w:fldChar w:fldCharType="begin"/>
      </w:r>
      <w:r w:rsidRPr="00381B18">
        <w:rPr>
          <w:b/>
          <w:i/>
        </w:rPr>
        <w:instrText xml:space="preserve"> REF _Ref986140 \h </w:instrText>
      </w:r>
      <w:r>
        <w:rPr>
          <w:b/>
        </w:rPr>
        <w:instrText xml:space="preserve"> \* MERGEFORMAT </w:instrText>
      </w:r>
      <w:r w:rsidRPr="00381B18">
        <w:rPr>
          <w:b/>
        </w:rPr>
      </w:r>
      <w:r w:rsidRPr="00381B18">
        <w:rPr>
          <w:b/>
        </w:rPr>
        <w:fldChar w:fldCharType="separate"/>
      </w:r>
      <w:r w:rsidRPr="00381B18">
        <w:rPr>
          <w:b/>
        </w:rPr>
        <w:t xml:space="preserve">Observation </w:t>
      </w:r>
      <w:r w:rsidRPr="00381B18">
        <w:rPr>
          <w:b/>
          <w:noProof/>
        </w:rPr>
        <w:t>1</w:t>
      </w:r>
      <w:r w:rsidRPr="00381B18">
        <w:rPr>
          <w:b/>
        </w:rPr>
        <w:t xml:space="preserve">: A 100m change in propagation delay will lead to the UL receive timing change around </w:t>
      </w:r>
      <w:r w:rsidRPr="00381B18">
        <w:rPr>
          <w:b/>
          <w:lang w:eastAsia="x-none"/>
        </w:rPr>
        <w:t>28% and 56% of the CP length for UL SCS 60KHz and 120KHz</w:t>
      </w:r>
      <w:r w:rsidRPr="00381B18">
        <w:rPr>
          <w:b/>
        </w:rPr>
        <w:t>, if UE does not adjust its UL timing.</w:t>
      </w:r>
      <w:r w:rsidRPr="00381B18">
        <w:rPr>
          <w:b/>
        </w:rPr>
        <w:fldChar w:fldCharType="end"/>
      </w:r>
    </w:p>
    <w:p w14:paraId="58BF882D" w14:textId="05068D56" w:rsidR="00381B18" w:rsidRPr="00381B18" w:rsidRDefault="00381B18" w:rsidP="006D0065">
      <w:pPr>
        <w:adjustRightInd w:val="0"/>
        <w:snapToGrid w:val="0"/>
        <w:spacing w:before="180" w:after="120"/>
        <w:jc w:val="both"/>
        <w:rPr>
          <w:b/>
          <w:i/>
        </w:rPr>
      </w:pPr>
      <w:r w:rsidRPr="00381B18">
        <w:rPr>
          <w:b/>
        </w:rPr>
        <w:lastRenderedPageBreak/>
        <w:fldChar w:fldCharType="begin"/>
      </w:r>
      <w:r w:rsidRPr="00381B18">
        <w:rPr>
          <w:b/>
        </w:rPr>
        <w:instrText xml:space="preserve"> REF _Ref986144 \h </w:instrText>
      </w:r>
      <w:r>
        <w:rPr>
          <w:b/>
        </w:rPr>
        <w:instrText xml:space="preserve"> \* MERGEFORMAT </w:instrText>
      </w:r>
      <w:r w:rsidRPr="00381B18">
        <w:rPr>
          <w:b/>
        </w:rPr>
      </w:r>
      <w:r w:rsidRPr="00381B18">
        <w:rPr>
          <w:b/>
        </w:rPr>
        <w:fldChar w:fldCharType="separate"/>
      </w:r>
      <w:r w:rsidRPr="00381B18">
        <w:rPr>
          <w:b/>
        </w:rPr>
        <w:t xml:space="preserve">Proposal </w:t>
      </w:r>
      <w:r w:rsidRPr="00381B18">
        <w:rPr>
          <w:b/>
          <w:noProof/>
        </w:rPr>
        <w:t>1</w:t>
      </w:r>
      <w:r w:rsidRPr="00381B18">
        <w:rPr>
          <w:b/>
        </w:rPr>
        <w:t xml:space="preserve">: If it is confirmed that a sudden </w:t>
      </w:r>
      <w:r w:rsidRPr="00381B18">
        <w:rPr>
          <w:b/>
          <w:lang w:eastAsia="x-none"/>
        </w:rPr>
        <w:t>UL timing change in FR2 is no larger than half UL CP</w:t>
      </w:r>
      <w:r w:rsidRPr="00381B18">
        <w:rPr>
          <w:b/>
        </w:rPr>
        <w:t xml:space="preserve"> and it does not </w:t>
      </w:r>
      <w:r w:rsidRPr="00381B18">
        <w:rPr>
          <w:b/>
          <w:lang w:eastAsia="x-none"/>
        </w:rPr>
        <w:t xml:space="preserve">lead to BS decoding error, UE </w:t>
      </w:r>
      <w:r w:rsidRPr="00381B18">
        <w:rPr>
          <w:b/>
        </w:rPr>
        <w:t xml:space="preserve">can follow </w:t>
      </w:r>
      <w:r w:rsidRPr="00381B18">
        <w:rPr>
          <w:b/>
          <w:lang w:eastAsia="x-none"/>
        </w:rPr>
        <w:t>the requirement of adjustment rate defined in Section 7.1.2 of TS38.133</w:t>
      </w:r>
      <w:r w:rsidRPr="00381B18">
        <w:rPr>
          <w:b/>
        </w:rPr>
        <w:t xml:space="preserve"> </w:t>
      </w:r>
      <w:r w:rsidRPr="00381B18">
        <w:rPr>
          <w:b/>
          <w:lang w:eastAsia="x-none"/>
        </w:rPr>
        <w:t>to adjust its UL timing following</w:t>
      </w:r>
      <w:r w:rsidRPr="00381B18">
        <w:rPr>
          <w:b/>
        </w:rPr>
        <w:t>.</w:t>
      </w:r>
      <w:r w:rsidRPr="00381B18">
        <w:rPr>
          <w:b/>
        </w:rPr>
        <w:fldChar w:fldCharType="end"/>
      </w:r>
    </w:p>
    <w:p w14:paraId="3943A132" w14:textId="6B4B55C6" w:rsidR="00627136" w:rsidRDefault="000F20AC" w:rsidP="00FB24ED">
      <w:pPr>
        <w:pStyle w:val="1"/>
        <w:numPr>
          <w:ilvl w:val="0"/>
          <w:numId w:val="2"/>
        </w:numPr>
        <w:rPr>
          <w:rFonts w:ascii="Calibri" w:hAnsi="Calibri"/>
        </w:rPr>
      </w:pPr>
      <w:r w:rsidRPr="000C45FD">
        <w:rPr>
          <w:rFonts w:ascii="Calibri" w:hAnsi="Calibri"/>
        </w:rPr>
        <w:t>References</w:t>
      </w:r>
    </w:p>
    <w:sectPr w:rsidR="0062713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664B5" w14:textId="77777777" w:rsidR="00BE744B" w:rsidRDefault="00BE744B">
      <w:r>
        <w:separator/>
      </w:r>
    </w:p>
  </w:endnote>
  <w:endnote w:type="continuationSeparator" w:id="0">
    <w:p w14:paraId="50EBFD9A" w14:textId="77777777" w:rsidR="00BE744B" w:rsidRDefault="00BE7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E3FB3" w14:textId="77777777" w:rsidR="00BE744B" w:rsidRDefault="00BE744B">
      <w:r>
        <w:separator/>
      </w:r>
    </w:p>
  </w:footnote>
  <w:footnote w:type="continuationSeparator" w:id="0">
    <w:p w14:paraId="143F4028" w14:textId="77777777" w:rsidR="00BE744B" w:rsidRDefault="00BE74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26"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24"/>
  </w:num>
  <w:num w:numId="3">
    <w:abstractNumId w:val="11"/>
  </w:num>
  <w:num w:numId="4">
    <w:abstractNumId w:val="17"/>
  </w:num>
  <w:num w:numId="5">
    <w:abstractNumId w:val="18"/>
  </w:num>
  <w:num w:numId="6">
    <w:abstractNumId w:val="4"/>
  </w:num>
  <w:num w:numId="7">
    <w:abstractNumId w:val="10"/>
  </w:num>
  <w:num w:numId="8">
    <w:abstractNumId w:val="22"/>
  </w:num>
  <w:num w:numId="9">
    <w:abstractNumId w:val="8"/>
  </w:num>
  <w:num w:numId="10">
    <w:abstractNumId w:val="0"/>
  </w:num>
  <w:num w:numId="11">
    <w:abstractNumId w:val="9"/>
  </w:num>
  <w:num w:numId="12">
    <w:abstractNumId w:val="13"/>
  </w:num>
  <w:num w:numId="13">
    <w:abstractNumId w:val="1"/>
  </w:num>
  <w:num w:numId="14">
    <w:abstractNumId w:val="28"/>
  </w:num>
  <w:num w:numId="15">
    <w:abstractNumId w:val="7"/>
  </w:num>
  <w:num w:numId="16">
    <w:abstractNumId w:val="3"/>
  </w:num>
  <w:num w:numId="17">
    <w:abstractNumId w:val="20"/>
  </w:num>
  <w:num w:numId="18">
    <w:abstractNumId w:val="27"/>
  </w:num>
  <w:num w:numId="19">
    <w:abstractNumId w:val="12"/>
  </w:num>
  <w:num w:numId="20">
    <w:abstractNumId w:val="6"/>
  </w:num>
  <w:num w:numId="21">
    <w:abstractNumId w:val="26"/>
  </w:num>
  <w:num w:numId="22">
    <w:abstractNumId w:val="21"/>
  </w:num>
  <w:num w:numId="23">
    <w:abstractNumId w:val="5"/>
  </w:num>
  <w:num w:numId="24">
    <w:abstractNumId w:val="2"/>
  </w:num>
  <w:num w:numId="25">
    <w:abstractNumId w:val="16"/>
  </w:num>
  <w:num w:numId="26">
    <w:abstractNumId w:val="25"/>
  </w:num>
  <w:num w:numId="27">
    <w:abstractNumId w:val="19"/>
  </w:num>
  <w:num w:numId="28">
    <w:abstractNumId w:val="14"/>
  </w:num>
  <w:num w:numId="2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580C"/>
    <w:rsid w:val="0009607D"/>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198"/>
    <w:rsid w:val="0031252F"/>
    <w:rsid w:val="0031324F"/>
    <w:rsid w:val="00313269"/>
    <w:rsid w:val="00313A9A"/>
    <w:rsid w:val="00313CB0"/>
    <w:rsid w:val="00313F96"/>
    <w:rsid w:val="00314CD0"/>
    <w:rsid w:val="00314D5F"/>
    <w:rsid w:val="00314E50"/>
    <w:rsid w:val="00314E6B"/>
    <w:rsid w:val="00314F76"/>
    <w:rsid w:val="003159C3"/>
    <w:rsid w:val="00315DDF"/>
    <w:rsid w:val="00316164"/>
    <w:rsid w:val="00316B4F"/>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7B69"/>
    <w:rsid w:val="00B3000E"/>
    <w:rsid w:val="00B304F9"/>
    <w:rsid w:val="00B30738"/>
    <w:rsid w:val="00B30BE3"/>
    <w:rsid w:val="00B313CD"/>
    <w:rsid w:val="00B31B31"/>
    <w:rsid w:val="00B31C46"/>
    <w:rsid w:val="00B31EE1"/>
    <w:rsid w:val="00B31FBE"/>
    <w:rsid w:val="00B32677"/>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DD5"/>
    <w:rsid w:val="00DF42F3"/>
    <w:rsid w:val="00DF574A"/>
    <w:rsid w:val="00DF63EF"/>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3B6"/>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E2B"/>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45E2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45E2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E81D2-2BBF-408A-86B0-C5A1366F9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2019-02-15T09:12:00Z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